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040" w:rsidRPr="00401292" w:rsidRDefault="00401292" w:rsidP="00401292">
      <w:pPr>
        <w:spacing w:after="0" w:line="240" w:lineRule="auto"/>
        <w:rPr>
          <w:rFonts w:ascii="DIN-Regular" w:hAnsi="DIN-Regular"/>
          <w:sz w:val="30"/>
          <w:szCs w:val="28"/>
        </w:rPr>
      </w:pPr>
      <w:r w:rsidRPr="00401292">
        <w:rPr>
          <w:rFonts w:ascii="DIN-Regular" w:hAnsi="DIN-Regular"/>
          <w:sz w:val="30"/>
          <w:szCs w:val="28"/>
        </w:rPr>
        <w:t>Definition einer Kundenanlage</w:t>
      </w:r>
    </w:p>
    <w:p w:rsidR="00401292" w:rsidRDefault="00401292" w:rsidP="00401292">
      <w:pPr>
        <w:spacing w:after="0" w:line="240" w:lineRule="auto"/>
        <w:rPr>
          <w:rFonts w:ascii="DIN-Regular" w:hAnsi="DIN-Regular"/>
        </w:rPr>
      </w:pPr>
    </w:p>
    <w:p w:rsidR="00401292" w:rsidRDefault="00264040" w:rsidP="00401292">
      <w:pPr>
        <w:spacing w:after="0" w:line="240" w:lineRule="auto"/>
        <w:rPr>
          <w:rFonts w:ascii="DIN-Regular" w:hAnsi="DIN-Regular"/>
        </w:rPr>
      </w:pPr>
      <w:r w:rsidRPr="00264040">
        <w:rPr>
          <w:rFonts w:ascii="DIN-Regular" w:hAnsi="DIN-Regular"/>
        </w:rPr>
        <w:t xml:space="preserve">Im § 3 Nr.24a hat der Gesetzgeber die Voraussetzungen zur Klassifizierung einer elektrischen Anlage </w:t>
      </w:r>
    </w:p>
    <w:p w:rsidR="00910FB4" w:rsidRDefault="00264040" w:rsidP="00401292">
      <w:pPr>
        <w:spacing w:after="0" w:line="240" w:lineRule="auto"/>
        <w:rPr>
          <w:rFonts w:ascii="DIN-Regular" w:hAnsi="DIN-Regular"/>
        </w:rPr>
      </w:pPr>
      <w:r w:rsidRPr="00264040">
        <w:rPr>
          <w:rFonts w:ascii="DIN-Regular" w:hAnsi="DIN-Regular"/>
        </w:rPr>
        <w:t xml:space="preserve">als Kundenanlage </w:t>
      </w:r>
      <w:r w:rsidR="00910FB4">
        <w:rPr>
          <w:rFonts w:ascii="DIN-Regular" w:hAnsi="DIN-Regular"/>
        </w:rPr>
        <w:t>au</w:t>
      </w:r>
      <w:bookmarkStart w:id="0" w:name="_GoBack"/>
      <w:bookmarkEnd w:id="0"/>
      <w:r w:rsidR="00910FB4">
        <w:rPr>
          <w:rFonts w:ascii="DIN-Regular" w:hAnsi="DIN-Regular"/>
        </w:rPr>
        <w:t>fgeführt.</w:t>
      </w:r>
      <w:r w:rsidR="00401292">
        <w:rPr>
          <w:rFonts w:ascii="DIN-Regular" w:hAnsi="DIN-Regular"/>
        </w:rPr>
        <w:t xml:space="preserve"> </w:t>
      </w:r>
      <w:r w:rsidR="00910FB4">
        <w:rPr>
          <w:rFonts w:ascii="DIN-Regular" w:hAnsi="DIN-Regular"/>
        </w:rPr>
        <w:t>Kundenanlagen nach §3 Nr. 24a sind:</w:t>
      </w:r>
    </w:p>
    <w:p w:rsidR="00910FB4" w:rsidRPr="00DB575B" w:rsidRDefault="00910FB4" w:rsidP="00401292">
      <w:pPr>
        <w:spacing w:after="0" w:line="240" w:lineRule="auto"/>
        <w:ind w:firstLine="360"/>
        <w:rPr>
          <w:rFonts w:ascii="DIN-Regular" w:hAnsi="DIN-Regular"/>
        </w:rPr>
      </w:pPr>
      <w:r w:rsidRPr="00DB575B">
        <w:rPr>
          <w:rFonts w:ascii="DIN-Regular" w:hAnsi="DIN-Regular"/>
        </w:rPr>
        <w:t xml:space="preserve">Energieanlagen zur Abgabe von Energie, </w:t>
      </w:r>
    </w:p>
    <w:p w:rsidR="00910FB4" w:rsidRPr="00DB575B" w:rsidRDefault="00910FB4" w:rsidP="00401292">
      <w:pPr>
        <w:numPr>
          <w:ilvl w:val="0"/>
          <w:numId w:val="4"/>
        </w:numPr>
        <w:spacing w:after="0" w:line="240" w:lineRule="auto"/>
        <w:rPr>
          <w:rFonts w:ascii="DIN-Regular" w:hAnsi="DIN-Regular"/>
        </w:rPr>
      </w:pPr>
      <w:r w:rsidRPr="00DB575B">
        <w:rPr>
          <w:rFonts w:ascii="DIN-Regular" w:hAnsi="DIN-Regular"/>
        </w:rPr>
        <w:t>die sich auf einem räumlich zusammengehörenden Gebiet befinden,</w:t>
      </w:r>
    </w:p>
    <w:p w:rsidR="00910FB4" w:rsidRPr="00DB575B" w:rsidRDefault="00910FB4" w:rsidP="00401292">
      <w:pPr>
        <w:numPr>
          <w:ilvl w:val="0"/>
          <w:numId w:val="4"/>
        </w:numPr>
        <w:spacing w:after="0" w:line="240" w:lineRule="auto"/>
        <w:rPr>
          <w:rFonts w:ascii="DIN-Regular" w:hAnsi="DIN-Regular"/>
        </w:rPr>
      </w:pPr>
      <w:r w:rsidRPr="00DB575B">
        <w:rPr>
          <w:rFonts w:ascii="DIN-Regular" w:hAnsi="DIN-Regular"/>
        </w:rPr>
        <w:t>mit einem Energieversorgungsnetz oder mit einer Erzeugungsanlage verbunden sind,</w:t>
      </w:r>
    </w:p>
    <w:p w:rsidR="00910FB4" w:rsidRPr="00DB575B" w:rsidRDefault="00910FB4" w:rsidP="00401292">
      <w:pPr>
        <w:numPr>
          <w:ilvl w:val="0"/>
          <w:numId w:val="4"/>
        </w:numPr>
        <w:spacing w:after="0" w:line="240" w:lineRule="auto"/>
        <w:rPr>
          <w:rFonts w:ascii="DIN-Regular" w:hAnsi="DIN-Regular"/>
        </w:rPr>
      </w:pPr>
      <w:r w:rsidRPr="00DB575B">
        <w:rPr>
          <w:rFonts w:ascii="DIN-Regular" w:hAnsi="DIN-Regular"/>
        </w:rPr>
        <w:t>für die Sicherstellung eines wirksamen und unverfälschten Wettbewerbs bei der Versorgung mit Elektrizität und Gas unbedeutend sind und</w:t>
      </w:r>
    </w:p>
    <w:p w:rsidR="00264040" w:rsidRPr="00DB575B" w:rsidRDefault="00910FB4" w:rsidP="00401292">
      <w:pPr>
        <w:numPr>
          <w:ilvl w:val="0"/>
          <w:numId w:val="4"/>
        </w:numPr>
        <w:spacing w:after="0" w:line="240" w:lineRule="auto"/>
        <w:rPr>
          <w:rFonts w:ascii="DIN-Regular" w:hAnsi="DIN-Regular"/>
        </w:rPr>
      </w:pPr>
      <w:r w:rsidRPr="00DB575B">
        <w:rPr>
          <w:rFonts w:ascii="DIN-Regular" w:hAnsi="DIN-Regular"/>
        </w:rPr>
        <w:t xml:space="preserve">jedermann zum Zwecke der Belieferung  der angeschlossenen Letztverbraucher im Wege der Durchleitung unabhängig von der Wahl des Energielieferanten diskriminierungsfrei und unentgeltlich zur Verfügung gestellt werden. </w:t>
      </w:r>
    </w:p>
    <w:p w:rsidR="003A0D3C" w:rsidRPr="00DB575B" w:rsidRDefault="003A0D3C" w:rsidP="00401292">
      <w:pPr>
        <w:spacing w:after="0" w:line="240" w:lineRule="auto"/>
        <w:ind w:left="720"/>
        <w:rPr>
          <w:rFonts w:ascii="DIN-Regular" w:hAnsi="DIN-Regular"/>
        </w:rPr>
      </w:pPr>
      <w:r w:rsidRPr="00DB575B">
        <w:rPr>
          <w:rFonts w:ascii="DIN-Regular" w:hAnsi="DIN-Regular"/>
        </w:rPr>
        <w:t xml:space="preserve">Bei diesen Kriterien handelt es sich teilweise um auslegungsbedürftige Sachverhalte, weswegen </w:t>
      </w:r>
      <w:r w:rsidR="000E705D" w:rsidRPr="00DB575B">
        <w:rPr>
          <w:rFonts w:ascii="DIN-Regular" w:hAnsi="DIN-Regular"/>
        </w:rPr>
        <w:t>es notwendig ist folgende  Begriffe zu schärfen.</w:t>
      </w:r>
    </w:p>
    <w:p w:rsidR="000E705D" w:rsidRPr="00DB575B" w:rsidRDefault="000E705D" w:rsidP="00401292">
      <w:pPr>
        <w:pStyle w:val="Listenabsatz"/>
        <w:numPr>
          <w:ilvl w:val="0"/>
          <w:numId w:val="5"/>
        </w:numPr>
        <w:spacing w:after="0" w:line="240" w:lineRule="auto"/>
        <w:ind w:left="1276" w:hanging="425"/>
        <w:contextualSpacing w:val="0"/>
        <w:rPr>
          <w:rFonts w:ascii="DIN-Regular" w:hAnsi="DIN-Regular"/>
        </w:rPr>
      </w:pPr>
      <w:r w:rsidRPr="00DB575B">
        <w:rPr>
          <w:rFonts w:ascii="DIN-Regular" w:hAnsi="DIN-Regular"/>
        </w:rPr>
        <w:t>Räumlich zusammengehörendes Gebiet</w:t>
      </w:r>
    </w:p>
    <w:p w:rsidR="00EA2ACE" w:rsidRPr="00401292" w:rsidRDefault="00EA2ACE" w:rsidP="00401292">
      <w:pPr>
        <w:spacing w:after="0" w:line="240" w:lineRule="auto"/>
        <w:ind w:left="1276"/>
        <w:rPr>
          <w:rFonts w:ascii="DIN-Regular" w:hAnsi="DIN-Regular"/>
        </w:rPr>
      </w:pPr>
      <w:r w:rsidRPr="00EA2ACE">
        <w:rPr>
          <w:rFonts w:ascii="DIN-Regular" w:hAnsi="DIN-Regular"/>
        </w:rPr>
        <w:t>In der Gesetzesbegründung zu § 3 Nr. 24a</w:t>
      </w:r>
      <w:r w:rsidR="00D178CD">
        <w:rPr>
          <w:rFonts w:ascii="DIN-Regular" w:hAnsi="DIN-Regular"/>
        </w:rPr>
        <w:t xml:space="preserve"> EnWG</w:t>
      </w:r>
      <w:r w:rsidRPr="00EA2ACE">
        <w:rPr>
          <w:rFonts w:ascii="DIN-Regular" w:hAnsi="DIN-Regular"/>
        </w:rPr>
        <w:t xml:space="preserve"> ist die Kundenanlage sehr eng gefasst.  Anhand der Gesetzesbegründung sollen vor allem </w:t>
      </w:r>
      <w:r w:rsidRPr="00401292">
        <w:rPr>
          <w:rFonts w:ascii="DIN-Regular" w:hAnsi="DIN-Regular"/>
        </w:rPr>
        <w:t xml:space="preserve">eng </w:t>
      </w:r>
      <w:r w:rsidRPr="00401292">
        <w:rPr>
          <w:rFonts w:ascii="DIN-Regular" w:hAnsi="DIN-Regular"/>
          <w:bCs/>
        </w:rPr>
        <w:t>begrenzte "Hausanlagen", im Einzelfall auch Energieanlagen, die sich über ein größeres Grundstück erstre</w:t>
      </w:r>
      <w:r w:rsidRPr="00401292">
        <w:rPr>
          <w:rFonts w:ascii="DIN-Regular" w:hAnsi="DIN-Regular"/>
          <w:bCs/>
        </w:rPr>
        <w:softHyphen/>
        <w:t>cken</w:t>
      </w:r>
      <w:r w:rsidRPr="00401292">
        <w:rPr>
          <w:rFonts w:ascii="DIN-Regular" w:hAnsi="DIN-Regular"/>
        </w:rPr>
        <w:t>, in Betracht kommen.</w:t>
      </w:r>
    </w:p>
    <w:p w:rsidR="00EA2ACE" w:rsidRDefault="00EA2ACE" w:rsidP="00401292">
      <w:pPr>
        <w:spacing w:after="0" w:line="240" w:lineRule="auto"/>
        <w:ind w:left="1276"/>
        <w:rPr>
          <w:rFonts w:ascii="DIN-Regular" w:hAnsi="DIN-Regular"/>
        </w:rPr>
      </w:pPr>
      <w:r>
        <w:rPr>
          <w:rFonts w:ascii="DIN-Regular" w:hAnsi="DIN-Regular"/>
        </w:rPr>
        <w:t xml:space="preserve">Außerdem liegt </w:t>
      </w:r>
      <w:r w:rsidR="003A0D3C" w:rsidRPr="00DB575B">
        <w:rPr>
          <w:rFonts w:ascii="DIN-Regular" w:hAnsi="DIN-Regular"/>
        </w:rPr>
        <w:t xml:space="preserve">Aus Sicht der </w:t>
      </w:r>
      <w:r w:rsidR="0078691E" w:rsidRPr="00DB575B">
        <w:rPr>
          <w:rFonts w:ascii="DIN-Regular" w:hAnsi="DIN-Regular"/>
        </w:rPr>
        <w:t>Regulierungsbehörden</w:t>
      </w:r>
      <w:r w:rsidR="003A0D3C" w:rsidRPr="00DB575B">
        <w:rPr>
          <w:rFonts w:ascii="DIN-Regular" w:hAnsi="DIN-Regular"/>
        </w:rPr>
        <w:t xml:space="preserve"> </w:t>
      </w:r>
      <w:r w:rsidR="00401292">
        <w:rPr>
          <w:rFonts w:ascii="DIN-Regular" w:hAnsi="DIN-Regular"/>
        </w:rPr>
        <w:t>ein räumlich z</w:t>
      </w:r>
      <w:r w:rsidR="003A0D3C" w:rsidRPr="00DB575B">
        <w:rPr>
          <w:rFonts w:ascii="DIN-Regular" w:hAnsi="DIN-Regular"/>
        </w:rPr>
        <w:t xml:space="preserve">usammengehörendes Gebiet </w:t>
      </w:r>
      <w:r>
        <w:rPr>
          <w:rFonts w:ascii="DIN-Regular" w:hAnsi="DIN-Regular"/>
        </w:rPr>
        <w:t xml:space="preserve">dann </w:t>
      </w:r>
      <w:r w:rsidR="003A0D3C" w:rsidRPr="00DB575B">
        <w:rPr>
          <w:rFonts w:ascii="DIN-Regular" w:hAnsi="DIN-Regular"/>
        </w:rPr>
        <w:t>vor, wenn es sich entweder um ein ode</w:t>
      </w:r>
      <w:r w:rsidR="00401292">
        <w:rPr>
          <w:rFonts w:ascii="DIN-Regular" w:hAnsi="DIN-Regular"/>
        </w:rPr>
        <w:t>r mehrere aneinander</w:t>
      </w:r>
      <w:r w:rsidR="003A0D3C" w:rsidRPr="00DB575B">
        <w:rPr>
          <w:rFonts w:ascii="DIN-Regular" w:hAnsi="DIN-Regular"/>
        </w:rPr>
        <w:t xml:space="preserve">grenzende Grundstücke handelt; dabei können die aneinandergrenzenden Grundstücke auch unterschiedlichen Eigentümern gehören. Weiterhin </w:t>
      </w:r>
      <w:r w:rsidR="0078691E" w:rsidRPr="00DB575B">
        <w:rPr>
          <w:rFonts w:ascii="DIN-Regular" w:hAnsi="DIN-Regular"/>
        </w:rPr>
        <w:t>haben die Regulierungsbehörden</w:t>
      </w:r>
      <w:r w:rsidR="003A0D3C" w:rsidRPr="00DB575B">
        <w:rPr>
          <w:rFonts w:ascii="DIN-Regular" w:hAnsi="DIN-Regular"/>
        </w:rPr>
        <w:t xml:space="preserve"> </w:t>
      </w:r>
      <w:r w:rsidR="00DB575B">
        <w:rPr>
          <w:rFonts w:ascii="DIN-Regular" w:hAnsi="DIN-Regular"/>
        </w:rPr>
        <w:t xml:space="preserve">in ihrem </w:t>
      </w:r>
      <w:r w:rsidR="00FB6403">
        <w:rPr>
          <w:rFonts w:ascii="DIN-Regular" w:hAnsi="DIN-Regular"/>
        </w:rPr>
        <w:t xml:space="preserve"> gemeinsamen Positionspapier  im </w:t>
      </w:r>
      <w:r w:rsidR="003A0D3C" w:rsidRPr="00DB575B">
        <w:rPr>
          <w:rFonts w:ascii="DIN-Regular" w:hAnsi="DIN-Regular"/>
        </w:rPr>
        <w:t xml:space="preserve">Zusammenhang </w:t>
      </w:r>
      <w:r w:rsidR="00FB6403">
        <w:rPr>
          <w:rFonts w:ascii="DIN-Regular" w:hAnsi="DIN-Regular"/>
        </w:rPr>
        <w:t>mit</w:t>
      </w:r>
      <w:r w:rsidR="003A0D3C" w:rsidRPr="00DB575B">
        <w:rPr>
          <w:rFonts w:ascii="DIN-Regular" w:hAnsi="DIN-Regular"/>
        </w:rPr>
        <w:t xml:space="preserve"> geschlossenen Verteil</w:t>
      </w:r>
      <w:r w:rsidR="00551A5B">
        <w:rPr>
          <w:rFonts w:ascii="DIN-Regular" w:hAnsi="DIN-Regular"/>
        </w:rPr>
        <w:t>er</w:t>
      </w:r>
      <w:r w:rsidR="003A0D3C" w:rsidRPr="00DB575B">
        <w:rPr>
          <w:rFonts w:ascii="DIN-Regular" w:hAnsi="DIN-Regular"/>
        </w:rPr>
        <w:t>netzbetreibern ausdrücklich darauf hingewiesen, dass</w:t>
      </w:r>
      <w:r w:rsidR="0078691E" w:rsidRPr="00DB575B">
        <w:rPr>
          <w:rFonts w:ascii="DIN-Regular" w:hAnsi="DIN-Regular"/>
        </w:rPr>
        <w:t xml:space="preserve"> die geographische Begrenztheit </w:t>
      </w:r>
      <w:r w:rsidR="0083768B">
        <w:rPr>
          <w:rFonts w:ascii="DIN-Regular" w:hAnsi="DIN-Regular"/>
        </w:rPr>
        <w:t>des</w:t>
      </w:r>
      <w:r w:rsidR="0078691E" w:rsidRPr="00DB575B">
        <w:rPr>
          <w:rFonts w:ascii="DIN-Regular" w:hAnsi="DIN-Regular"/>
        </w:rPr>
        <w:t xml:space="preserve"> Gebiets</w:t>
      </w:r>
      <w:r w:rsidR="0083768B">
        <w:rPr>
          <w:rFonts w:ascii="DIN-Regular" w:hAnsi="DIN-Regular"/>
        </w:rPr>
        <w:t xml:space="preserve"> eines geschlossenen Verteilernetzes</w:t>
      </w:r>
      <w:r w:rsidR="0078691E" w:rsidRPr="00DB575B">
        <w:rPr>
          <w:rFonts w:ascii="DIN-Regular" w:hAnsi="DIN-Regular"/>
        </w:rPr>
        <w:t xml:space="preserve"> nicht unbedingt deshalb ausgeschlossen ist</w:t>
      </w:r>
      <w:r w:rsidR="00551A5B">
        <w:rPr>
          <w:rFonts w:ascii="DIN-Regular" w:hAnsi="DIN-Regular"/>
        </w:rPr>
        <w:t>,</w:t>
      </w:r>
      <w:r w:rsidR="0078691E" w:rsidRPr="00DB575B">
        <w:rPr>
          <w:rFonts w:ascii="DIN-Regular" w:hAnsi="DIN-Regular"/>
        </w:rPr>
        <w:t xml:space="preserve"> wenn </w:t>
      </w:r>
      <w:r w:rsidR="00FB6403">
        <w:rPr>
          <w:rFonts w:ascii="DIN-Regular" w:hAnsi="DIN-Regular"/>
        </w:rPr>
        <w:t>dies</w:t>
      </w:r>
      <w:r w:rsidR="0078691E" w:rsidRPr="00DB575B">
        <w:rPr>
          <w:rFonts w:ascii="DIN-Regular" w:hAnsi="DIN-Regular"/>
        </w:rPr>
        <w:t xml:space="preserve"> durch öffentliche Straßen und Wege durchschnitten wird. Bei der Beschreibung des räumlich zusammengehörenden Gebiets</w:t>
      </w:r>
      <w:r w:rsidR="000E705D" w:rsidRPr="00DB575B">
        <w:rPr>
          <w:rFonts w:ascii="DIN-Regular" w:hAnsi="DIN-Regular"/>
        </w:rPr>
        <w:t xml:space="preserve"> der Kundenanlage </w:t>
      </w:r>
      <w:r w:rsidR="0078691E" w:rsidRPr="00DB575B">
        <w:rPr>
          <w:rFonts w:ascii="DIN-Regular" w:hAnsi="DIN-Regular"/>
        </w:rPr>
        <w:t xml:space="preserve"> haben die Regulierungsbehörden</w:t>
      </w:r>
      <w:r w:rsidR="00FB6403">
        <w:rPr>
          <w:rFonts w:ascii="DIN-Regular" w:hAnsi="DIN-Regular"/>
        </w:rPr>
        <w:t xml:space="preserve"> in ihrem Positionspapier</w:t>
      </w:r>
      <w:r w:rsidR="0078691E" w:rsidRPr="00DB575B">
        <w:rPr>
          <w:rFonts w:ascii="DIN-Regular" w:hAnsi="DIN-Regular"/>
        </w:rPr>
        <w:t xml:space="preserve"> auf diesen </w:t>
      </w:r>
      <w:r w:rsidR="00C10CAB">
        <w:rPr>
          <w:rFonts w:ascii="DIN-Regular" w:hAnsi="DIN-Regular"/>
        </w:rPr>
        <w:t>A</w:t>
      </w:r>
      <w:r w:rsidR="0078691E" w:rsidRPr="00DB575B">
        <w:rPr>
          <w:rFonts w:ascii="DIN-Regular" w:hAnsi="DIN-Regular"/>
        </w:rPr>
        <w:t>usnahmetatbestand  nicht hingewiesen</w:t>
      </w:r>
      <w:r w:rsidR="00FB6403">
        <w:rPr>
          <w:rFonts w:ascii="DIN-Regular" w:hAnsi="DIN-Regular"/>
        </w:rPr>
        <w:t>. Daraus</w:t>
      </w:r>
      <w:r w:rsidR="0078691E" w:rsidRPr="00DB575B">
        <w:rPr>
          <w:rFonts w:ascii="DIN-Regular" w:hAnsi="DIN-Regular"/>
        </w:rPr>
        <w:t xml:space="preserve"> lä</w:t>
      </w:r>
      <w:r w:rsidR="000E705D" w:rsidRPr="00DB575B">
        <w:rPr>
          <w:rFonts w:ascii="DIN-Regular" w:hAnsi="DIN-Regular"/>
        </w:rPr>
        <w:t>ss</w:t>
      </w:r>
      <w:r w:rsidR="0078691E" w:rsidRPr="00DB575B">
        <w:rPr>
          <w:rFonts w:ascii="DIN-Regular" w:hAnsi="DIN-Regular"/>
        </w:rPr>
        <w:t xml:space="preserve">t sich </w:t>
      </w:r>
      <w:r w:rsidR="000E705D" w:rsidRPr="00DB575B">
        <w:rPr>
          <w:rFonts w:ascii="DIN-Regular" w:hAnsi="DIN-Regular"/>
        </w:rPr>
        <w:t>ableiten</w:t>
      </w:r>
      <w:r w:rsidR="0078691E" w:rsidRPr="00DB575B">
        <w:rPr>
          <w:rFonts w:ascii="DIN-Regular" w:hAnsi="DIN-Regular"/>
        </w:rPr>
        <w:t xml:space="preserve">, dass </w:t>
      </w:r>
      <w:r>
        <w:rPr>
          <w:rFonts w:ascii="DIN-Regular" w:hAnsi="DIN-Regular"/>
        </w:rPr>
        <w:t>die</w:t>
      </w:r>
      <w:r w:rsidR="0083768B">
        <w:rPr>
          <w:rFonts w:ascii="DIN-Regular" w:hAnsi="DIN-Regular"/>
        </w:rPr>
        <w:t xml:space="preserve"> räumlich </w:t>
      </w:r>
      <w:r>
        <w:rPr>
          <w:rFonts w:ascii="DIN-Regular" w:hAnsi="DIN-Regular"/>
        </w:rPr>
        <w:t xml:space="preserve">Zusammengehörigkeit des </w:t>
      </w:r>
      <w:r w:rsidR="0083768B">
        <w:rPr>
          <w:rFonts w:ascii="DIN-Regular" w:hAnsi="DIN-Regular"/>
        </w:rPr>
        <w:t xml:space="preserve"> Gebiet</w:t>
      </w:r>
      <w:r>
        <w:rPr>
          <w:rFonts w:ascii="DIN-Regular" w:hAnsi="DIN-Regular"/>
        </w:rPr>
        <w:t>s</w:t>
      </w:r>
      <w:r w:rsidR="0083768B">
        <w:rPr>
          <w:rFonts w:ascii="DIN-Regular" w:hAnsi="DIN-Regular"/>
        </w:rPr>
        <w:t xml:space="preserve"> einer Kundenanlage</w:t>
      </w:r>
      <w:r>
        <w:rPr>
          <w:rFonts w:ascii="DIN-Regular" w:hAnsi="DIN-Regular"/>
        </w:rPr>
        <w:t xml:space="preserve"> nicht mehr gegeben ist, wenn </w:t>
      </w:r>
      <w:r w:rsidR="00C161E2">
        <w:rPr>
          <w:rFonts w:ascii="DIN-Regular" w:hAnsi="DIN-Regular"/>
        </w:rPr>
        <w:t>sich in diesem Gebiet</w:t>
      </w:r>
      <w:r w:rsidR="000E705D" w:rsidRPr="00DB575B">
        <w:rPr>
          <w:rFonts w:ascii="DIN-Regular" w:hAnsi="DIN-Regular"/>
        </w:rPr>
        <w:t xml:space="preserve">  öffentliche Straßen und Wege </w:t>
      </w:r>
      <w:r w:rsidR="00C161E2">
        <w:rPr>
          <w:rFonts w:ascii="DIN-Regular" w:hAnsi="DIN-Regular"/>
        </w:rPr>
        <w:t>befinden</w:t>
      </w:r>
      <w:r>
        <w:rPr>
          <w:rFonts w:ascii="DIN-Regular" w:hAnsi="DIN-Regular"/>
        </w:rPr>
        <w:t>.</w:t>
      </w:r>
      <w:r w:rsidR="003A0D3C" w:rsidRPr="00DB575B">
        <w:rPr>
          <w:rFonts w:ascii="DIN-Regular" w:hAnsi="DIN-Regular"/>
        </w:rPr>
        <w:t xml:space="preserve"> </w:t>
      </w:r>
    </w:p>
    <w:p w:rsidR="00EA2ACE" w:rsidRDefault="00EA2ACE" w:rsidP="00401292">
      <w:pPr>
        <w:pStyle w:val="Listenabsatz"/>
        <w:numPr>
          <w:ilvl w:val="0"/>
          <w:numId w:val="5"/>
        </w:numPr>
        <w:spacing w:after="0" w:line="240" w:lineRule="auto"/>
        <w:ind w:left="1276" w:hanging="425"/>
        <w:contextualSpacing w:val="0"/>
        <w:rPr>
          <w:rFonts w:ascii="DIN-Regular" w:hAnsi="DIN-Regular"/>
        </w:rPr>
      </w:pPr>
      <w:r>
        <w:rPr>
          <w:rFonts w:ascii="DIN-Regular" w:hAnsi="DIN-Regular"/>
        </w:rPr>
        <w:t>Für die Sicherstellung eines wirksamen und unverfälschten Wettbewerbs bei der Versorgung mit Strom unbedeutend</w:t>
      </w:r>
      <w:r w:rsidR="00401292">
        <w:rPr>
          <w:rFonts w:ascii="DIN-Regular" w:hAnsi="DIN-Regular"/>
        </w:rPr>
        <w:t>.</w:t>
      </w:r>
    </w:p>
    <w:p w:rsidR="009F2F2A" w:rsidRDefault="00DC0B1E" w:rsidP="00401292">
      <w:pPr>
        <w:spacing w:after="0" w:line="240" w:lineRule="auto"/>
        <w:ind w:left="1276"/>
        <w:rPr>
          <w:rFonts w:ascii="DIN-Regular" w:hAnsi="DIN-Regular"/>
        </w:rPr>
      </w:pPr>
      <w:r>
        <w:rPr>
          <w:rFonts w:ascii="DIN-Regular" w:hAnsi="DIN-Regular"/>
        </w:rPr>
        <w:t xml:space="preserve">Die Bundesnetzagentur hat </w:t>
      </w:r>
      <w:r w:rsidR="00A526BF">
        <w:rPr>
          <w:rFonts w:ascii="DIN-Regular" w:hAnsi="DIN-Regular"/>
        </w:rPr>
        <w:t xml:space="preserve">der Netze </w:t>
      </w:r>
      <w:r w:rsidR="008F2AD9">
        <w:rPr>
          <w:rFonts w:ascii="DIN-Regular" w:hAnsi="DIN-Regular"/>
        </w:rPr>
        <w:t>B</w:t>
      </w:r>
      <w:r w:rsidR="00A526BF">
        <w:rPr>
          <w:rFonts w:ascii="DIN-Regular" w:hAnsi="DIN-Regular"/>
        </w:rPr>
        <w:t>W in diesem Zusammenhang mitgeteilt</w:t>
      </w:r>
      <w:r>
        <w:rPr>
          <w:rFonts w:ascii="DIN-Regular" w:hAnsi="DIN-Regular"/>
        </w:rPr>
        <w:t>,</w:t>
      </w:r>
      <w:r w:rsidR="009F2F2A" w:rsidRPr="00DB575B">
        <w:rPr>
          <w:rFonts w:ascii="DIN-Regular" w:hAnsi="DIN-Regular"/>
        </w:rPr>
        <w:t xml:space="preserve"> dass</w:t>
      </w:r>
      <w:r>
        <w:rPr>
          <w:rFonts w:ascii="DIN-Regular" w:hAnsi="DIN-Regular"/>
        </w:rPr>
        <w:t xml:space="preserve"> sie </w:t>
      </w:r>
      <w:r w:rsidR="009F2F2A" w:rsidRPr="00DB575B">
        <w:rPr>
          <w:rFonts w:ascii="DIN-Regular" w:hAnsi="DIN-Regular"/>
        </w:rPr>
        <w:t xml:space="preserve">die Sicherstellung des unverfälschten Wettbewerbs erst dann </w:t>
      </w:r>
      <w:r>
        <w:rPr>
          <w:rFonts w:ascii="DIN-Regular" w:hAnsi="DIN-Regular"/>
        </w:rPr>
        <w:t xml:space="preserve">als </w:t>
      </w:r>
      <w:r w:rsidR="009F2F2A" w:rsidRPr="00DB575B">
        <w:rPr>
          <w:rFonts w:ascii="DIN-Regular" w:hAnsi="DIN-Regular"/>
        </w:rPr>
        <w:t xml:space="preserve">gefährdet </w:t>
      </w:r>
      <w:r>
        <w:rPr>
          <w:rFonts w:ascii="DIN-Regular" w:hAnsi="DIN-Regular"/>
        </w:rPr>
        <w:t>ansieht</w:t>
      </w:r>
      <w:r w:rsidR="009F2F2A" w:rsidRPr="00DB575B">
        <w:rPr>
          <w:rFonts w:ascii="DIN-Regular" w:hAnsi="DIN-Regular"/>
        </w:rPr>
        <w:t xml:space="preserve">, wenn über die Energieanlage mehr als 100 Wohneinheiten versorgt werden. </w:t>
      </w:r>
    </w:p>
    <w:p w:rsidR="00DA6B50" w:rsidRPr="00DB575B" w:rsidRDefault="00DA6B50" w:rsidP="00401292">
      <w:pPr>
        <w:spacing w:after="0" w:line="240" w:lineRule="auto"/>
        <w:ind w:left="720"/>
        <w:rPr>
          <w:rFonts w:ascii="DIN-Regular" w:hAnsi="DIN-Regular"/>
        </w:rPr>
      </w:pPr>
    </w:p>
    <w:sectPr w:rsidR="00DA6B50" w:rsidRPr="00DB575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5A9" w:rsidRDefault="004825A9" w:rsidP="00233A05">
      <w:pPr>
        <w:spacing w:after="0" w:line="240" w:lineRule="auto"/>
      </w:pPr>
      <w:r>
        <w:separator/>
      </w:r>
    </w:p>
  </w:endnote>
  <w:endnote w:type="continuationSeparator" w:id="0">
    <w:p w:rsidR="004825A9" w:rsidRDefault="004825A9" w:rsidP="0023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Regular">
    <w:altName w:val="Calibri"/>
    <w:charset w:val="00"/>
    <w:family w:val="swiss"/>
    <w:pitch w:val="variable"/>
    <w:sig w:usb0="00000001" w:usb1="5000204A" w:usb2="0000001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5A9" w:rsidRDefault="004825A9" w:rsidP="00233A05">
      <w:pPr>
        <w:spacing w:after="0" w:line="240" w:lineRule="auto"/>
      </w:pPr>
      <w:r>
        <w:separator/>
      </w:r>
    </w:p>
  </w:footnote>
  <w:footnote w:type="continuationSeparator" w:id="0">
    <w:p w:rsidR="004825A9" w:rsidRDefault="004825A9" w:rsidP="00233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A05" w:rsidRDefault="00233A05" w:rsidP="00233A05">
    <w:pPr>
      <w:pStyle w:val="Kopfzeile"/>
      <w:tabs>
        <w:tab w:val="clear" w:pos="4536"/>
      </w:tabs>
    </w:pPr>
    <w:r>
      <w:tab/>
      <w:t xml:space="preserve">Stand 21.11.2016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547D"/>
    <w:multiLevelType w:val="hybridMultilevel"/>
    <w:tmpl w:val="EB8A9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F18F6"/>
    <w:multiLevelType w:val="hybridMultilevel"/>
    <w:tmpl w:val="EFAEACDA"/>
    <w:lvl w:ilvl="0" w:tplc="EB48D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C2355"/>
    <w:multiLevelType w:val="hybridMultilevel"/>
    <w:tmpl w:val="672693C0"/>
    <w:lvl w:ilvl="0" w:tplc="0164CBDC">
      <w:start w:val="1"/>
      <w:numFmt w:val="bullet"/>
      <w:lvlText w:val="-"/>
      <w:lvlJc w:val="left"/>
      <w:pPr>
        <w:ind w:left="720" w:hanging="360"/>
      </w:pPr>
      <w:rPr>
        <w:rFonts w:ascii="DIN-Regular" w:hAnsi="DIN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1D27"/>
    <w:multiLevelType w:val="hybridMultilevel"/>
    <w:tmpl w:val="1D9A1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F2A6F"/>
    <w:multiLevelType w:val="hybridMultilevel"/>
    <w:tmpl w:val="4F6C45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A48C8"/>
    <w:multiLevelType w:val="hybridMultilevel"/>
    <w:tmpl w:val="B83A07D8"/>
    <w:lvl w:ilvl="0" w:tplc="04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35233B39"/>
    <w:multiLevelType w:val="hybridMultilevel"/>
    <w:tmpl w:val="7CB249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644AFFBC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B646D"/>
    <w:multiLevelType w:val="hybridMultilevel"/>
    <w:tmpl w:val="2542E2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17B23"/>
    <w:multiLevelType w:val="hybridMultilevel"/>
    <w:tmpl w:val="53F65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EB"/>
    <w:rsid w:val="000A022E"/>
    <w:rsid w:val="000B6B09"/>
    <w:rsid w:val="000E35AF"/>
    <w:rsid w:val="000E705D"/>
    <w:rsid w:val="00101773"/>
    <w:rsid w:val="00126C7F"/>
    <w:rsid w:val="001B150B"/>
    <w:rsid w:val="001E40D1"/>
    <w:rsid w:val="00216680"/>
    <w:rsid w:val="00233A05"/>
    <w:rsid w:val="00264040"/>
    <w:rsid w:val="00265F2B"/>
    <w:rsid w:val="002E59AA"/>
    <w:rsid w:val="003070EB"/>
    <w:rsid w:val="00345B39"/>
    <w:rsid w:val="00357A31"/>
    <w:rsid w:val="003652E7"/>
    <w:rsid w:val="003A0D3C"/>
    <w:rsid w:val="003A1560"/>
    <w:rsid w:val="003D6A59"/>
    <w:rsid w:val="00401292"/>
    <w:rsid w:val="00406425"/>
    <w:rsid w:val="00415469"/>
    <w:rsid w:val="00422B78"/>
    <w:rsid w:val="004468BE"/>
    <w:rsid w:val="004705D1"/>
    <w:rsid w:val="004825A9"/>
    <w:rsid w:val="004B6257"/>
    <w:rsid w:val="004D114F"/>
    <w:rsid w:val="004D264E"/>
    <w:rsid w:val="004D76C9"/>
    <w:rsid w:val="00513B11"/>
    <w:rsid w:val="005425A3"/>
    <w:rsid w:val="00551A5B"/>
    <w:rsid w:val="0058123F"/>
    <w:rsid w:val="005C2B82"/>
    <w:rsid w:val="005D7E70"/>
    <w:rsid w:val="00774CB9"/>
    <w:rsid w:val="00775845"/>
    <w:rsid w:val="0078691E"/>
    <w:rsid w:val="00795918"/>
    <w:rsid w:val="0083768B"/>
    <w:rsid w:val="008F2AD9"/>
    <w:rsid w:val="008F592D"/>
    <w:rsid w:val="00900F83"/>
    <w:rsid w:val="00902F57"/>
    <w:rsid w:val="00910FB4"/>
    <w:rsid w:val="009F2F2A"/>
    <w:rsid w:val="009F444D"/>
    <w:rsid w:val="00A526BF"/>
    <w:rsid w:val="00AA539B"/>
    <w:rsid w:val="00AE368E"/>
    <w:rsid w:val="00AF7B0E"/>
    <w:rsid w:val="00B26727"/>
    <w:rsid w:val="00B562C8"/>
    <w:rsid w:val="00B92068"/>
    <w:rsid w:val="00BC452D"/>
    <w:rsid w:val="00BD7483"/>
    <w:rsid w:val="00C10CAB"/>
    <w:rsid w:val="00C161E2"/>
    <w:rsid w:val="00CF4135"/>
    <w:rsid w:val="00D178CD"/>
    <w:rsid w:val="00D4524C"/>
    <w:rsid w:val="00D561A6"/>
    <w:rsid w:val="00DA5179"/>
    <w:rsid w:val="00DA6B50"/>
    <w:rsid w:val="00DB575B"/>
    <w:rsid w:val="00DB5C0C"/>
    <w:rsid w:val="00DC0B1E"/>
    <w:rsid w:val="00E1736B"/>
    <w:rsid w:val="00E600D6"/>
    <w:rsid w:val="00E653A5"/>
    <w:rsid w:val="00EA2ACE"/>
    <w:rsid w:val="00EB4F15"/>
    <w:rsid w:val="00EF3984"/>
    <w:rsid w:val="00F63FEA"/>
    <w:rsid w:val="00F84387"/>
    <w:rsid w:val="00FB6403"/>
    <w:rsid w:val="00FD1A71"/>
    <w:rsid w:val="00FE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2B69"/>
  <w15:docId w15:val="{8F82608E-168F-43E4-AD70-41CED2C3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70E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76C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1A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1A5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1A5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1A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1A5B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33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3A05"/>
  </w:style>
  <w:style w:type="paragraph" w:styleId="Fuzeile">
    <w:name w:val="footer"/>
    <w:basedOn w:val="Standard"/>
    <w:link w:val="FuzeileZchn"/>
    <w:uiPriority w:val="99"/>
    <w:unhideWhenUsed/>
    <w:rsid w:val="00233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3A05"/>
  </w:style>
  <w:style w:type="character" w:styleId="Hyperlink">
    <w:name w:val="Hyperlink"/>
    <w:basedOn w:val="Absatz-Standardschriftart"/>
    <w:uiPriority w:val="99"/>
    <w:unhideWhenUsed/>
    <w:rsid w:val="00233A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EnBW AG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Rausch Karlheinz</dc:creator>
  <cp:lastModifiedBy>Nico</cp:lastModifiedBy>
  <cp:revision>2</cp:revision>
  <dcterms:created xsi:type="dcterms:W3CDTF">2016-12-08T16:18:00Z</dcterms:created>
  <dcterms:modified xsi:type="dcterms:W3CDTF">2016-12-08T16:18:00Z</dcterms:modified>
</cp:coreProperties>
</file>